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A69B" w14:textId="77777777" w:rsidR="006B4313" w:rsidRDefault="006B4313" w:rsidP="006B4313">
      <w:pPr>
        <w:ind w:right="403"/>
        <w:jc w:val="center"/>
        <w:rPr>
          <w:rFonts w:ascii="Trebuchet MS" w:hAnsi="Trebuchet MS"/>
          <w:color w:val="FF0000"/>
          <w:sz w:val="28"/>
          <w:szCs w:val="28"/>
        </w:rPr>
      </w:pPr>
    </w:p>
    <w:p w14:paraId="223338FC" w14:textId="6D74F116" w:rsidR="006B4313" w:rsidRDefault="00C10101" w:rsidP="006B4313">
      <w:pPr>
        <w:spacing w:after="0"/>
        <w:ind w:right="403"/>
        <w:jc w:val="center"/>
        <w:rPr>
          <w:rFonts w:ascii="Trebuchet MS" w:hAnsi="Trebuchet MS"/>
          <w:color w:val="FF0000"/>
          <w:sz w:val="34"/>
          <w:szCs w:val="34"/>
        </w:rPr>
      </w:pPr>
      <w:r w:rsidRPr="006B4313">
        <w:rPr>
          <w:rFonts w:ascii="Trebuchet MS" w:hAnsi="Trebuchet MS"/>
          <w:color w:val="FF0000"/>
          <w:sz w:val="34"/>
          <w:szCs w:val="34"/>
        </w:rPr>
        <w:t xml:space="preserve">INTERREG EUROPE </w:t>
      </w:r>
      <w:r w:rsidR="00C57ABD" w:rsidRPr="006B4313">
        <w:rPr>
          <w:rFonts w:ascii="Trebuchet MS" w:hAnsi="Trebuchet MS"/>
          <w:color w:val="FF0000"/>
          <w:sz w:val="34"/>
          <w:szCs w:val="34"/>
        </w:rPr>
        <w:t>PROJECT IDEA</w:t>
      </w:r>
      <w:r w:rsidR="00E600F2" w:rsidRPr="006B4313">
        <w:rPr>
          <w:rFonts w:ascii="Trebuchet MS" w:hAnsi="Trebuchet MS"/>
          <w:color w:val="FF0000"/>
          <w:sz w:val="34"/>
          <w:szCs w:val="34"/>
        </w:rPr>
        <w:t xml:space="preserve"> </w:t>
      </w:r>
    </w:p>
    <w:p w14:paraId="2EA90947" w14:textId="507583E8" w:rsidR="00C10101" w:rsidRPr="006B4313" w:rsidRDefault="00C10101" w:rsidP="006B4313">
      <w:pPr>
        <w:pStyle w:val="ListParagraph"/>
        <w:numPr>
          <w:ilvl w:val="0"/>
          <w:numId w:val="1"/>
        </w:numPr>
        <w:spacing w:after="0"/>
        <w:ind w:right="403"/>
        <w:jc w:val="center"/>
        <w:rPr>
          <w:rFonts w:ascii="Trebuchet MS" w:hAnsi="Trebuchet MS"/>
          <w:color w:val="FF0000"/>
          <w:sz w:val="34"/>
          <w:szCs w:val="34"/>
        </w:rPr>
      </w:pPr>
      <w:r w:rsidRPr="006B4313">
        <w:rPr>
          <w:rFonts w:ascii="Trebuchet MS" w:hAnsi="Trebuchet MS"/>
          <w:color w:val="FF0000"/>
          <w:sz w:val="34"/>
          <w:szCs w:val="34"/>
        </w:rPr>
        <w:t>essential services provision</w:t>
      </w:r>
      <w:r w:rsidR="006B4313" w:rsidRPr="006B4313">
        <w:rPr>
          <w:rFonts w:ascii="Trebuchet MS" w:hAnsi="Trebuchet MS"/>
          <w:color w:val="FF0000"/>
          <w:sz w:val="34"/>
          <w:szCs w:val="34"/>
        </w:rPr>
        <w:t xml:space="preserve"> </w:t>
      </w:r>
      <w:r w:rsidR="00E600F2" w:rsidRPr="006B4313">
        <w:rPr>
          <w:rFonts w:ascii="Trebuchet MS" w:hAnsi="Trebuchet MS"/>
          <w:color w:val="FF0000"/>
          <w:sz w:val="34"/>
          <w:szCs w:val="34"/>
        </w:rPr>
        <w:t xml:space="preserve">and the assessment of </w:t>
      </w:r>
      <w:r w:rsidR="006B4313" w:rsidRPr="006B4313">
        <w:rPr>
          <w:rFonts w:ascii="Trebuchet MS" w:hAnsi="Trebuchet MS"/>
          <w:color w:val="FF0000"/>
          <w:sz w:val="34"/>
          <w:szCs w:val="34"/>
        </w:rPr>
        <w:t>the appropriate</w:t>
      </w:r>
      <w:r w:rsidR="006B4313">
        <w:rPr>
          <w:rFonts w:ascii="Trebuchet MS" w:hAnsi="Trebuchet MS"/>
          <w:color w:val="FF0000"/>
          <w:sz w:val="34"/>
          <w:szCs w:val="34"/>
        </w:rPr>
        <w:t xml:space="preserve"> </w:t>
      </w:r>
      <w:r w:rsidR="00E600F2" w:rsidRPr="006B4313">
        <w:rPr>
          <w:rFonts w:ascii="Trebuchet MS" w:hAnsi="Trebuchet MS"/>
          <w:color w:val="FF0000"/>
          <w:sz w:val="34"/>
          <w:szCs w:val="34"/>
        </w:rPr>
        <w:t>administrative capacity required</w:t>
      </w:r>
    </w:p>
    <w:p w14:paraId="10E3FD34" w14:textId="1350269B" w:rsidR="00C10101" w:rsidRDefault="00C10101" w:rsidP="006B4313">
      <w:pPr>
        <w:ind w:right="403"/>
        <w:jc w:val="both"/>
        <w:rPr>
          <w:rFonts w:ascii="Trebuchet MS" w:hAnsi="Trebuchet MS"/>
          <w:sz w:val="28"/>
          <w:szCs w:val="28"/>
        </w:rPr>
      </w:pPr>
    </w:p>
    <w:p w14:paraId="04E5BE1C" w14:textId="77777777" w:rsidR="006B4313" w:rsidRPr="006B4313" w:rsidRDefault="006B4313" w:rsidP="006B4313">
      <w:pPr>
        <w:ind w:right="403"/>
        <w:jc w:val="both"/>
        <w:rPr>
          <w:rFonts w:ascii="Trebuchet MS" w:hAnsi="Trebuchet MS"/>
          <w:sz w:val="28"/>
          <w:szCs w:val="28"/>
        </w:rPr>
      </w:pPr>
    </w:p>
    <w:p w14:paraId="6C3025CA" w14:textId="25D5A9E8" w:rsidR="00B653E9" w:rsidRPr="006B4313" w:rsidRDefault="00B653E9" w:rsidP="006B4313">
      <w:pPr>
        <w:ind w:right="403"/>
        <w:jc w:val="both"/>
        <w:rPr>
          <w:rFonts w:ascii="Trebuchet MS" w:hAnsi="Trebuchet MS"/>
          <w:sz w:val="28"/>
          <w:szCs w:val="28"/>
        </w:rPr>
      </w:pPr>
      <w:r w:rsidRPr="006B4313">
        <w:rPr>
          <w:rFonts w:ascii="Trebuchet MS" w:hAnsi="Trebuchet MS"/>
          <w:sz w:val="28"/>
          <w:szCs w:val="28"/>
        </w:rPr>
        <w:t>Principle 20 of the European Pillar of Social Rights (EPSR) states that “</w:t>
      </w:r>
      <w:r w:rsidRPr="006B4313">
        <w:rPr>
          <w:rFonts w:ascii="Trebuchet MS" w:hAnsi="Trebuchet MS"/>
          <w:b/>
          <w:bCs/>
          <w:sz w:val="28"/>
          <w:szCs w:val="28"/>
        </w:rPr>
        <w:t>everyone has the right to access essential services of good quality</w:t>
      </w:r>
      <w:r w:rsidRPr="006B4313">
        <w:rPr>
          <w:rFonts w:ascii="Trebuchet MS" w:hAnsi="Trebuchet MS"/>
          <w:sz w:val="28"/>
          <w:szCs w:val="28"/>
        </w:rPr>
        <w:t xml:space="preserve">, including </w:t>
      </w:r>
      <w:r w:rsidRPr="006B4313">
        <w:rPr>
          <w:rFonts w:ascii="Trebuchet MS" w:hAnsi="Trebuchet MS"/>
          <w:b/>
          <w:bCs/>
          <w:i/>
          <w:iCs/>
          <w:sz w:val="28"/>
          <w:szCs w:val="28"/>
        </w:rPr>
        <w:t>water</w:t>
      </w:r>
      <w:r w:rsidRPr="006B4313">
        <w:rPr>
          <w:rFonts w:ascii="Trebuchet MS" w:hAnsi="Trebuchet MS"/>
          <w:sz w:val="28"/>
          <w:szCs w:val="28"/>
        </w:rPr>
        <w:t xml:space="preserve">, </w:t>
      </w:r>
      <w:r w:rsidRPr="006B4313">
        <w:rPr>
          <w:rFonts w:ascii="Trebuchet MS" w:hAnsi="Trebuchet MS"/>
          <w:b/>
          <w:bCs/>
          <w:i/>
          <w:iCs/>
          <w:sz w:val="28"/>
          <w:szCs w:val="28"/>
        </w:rPr>
        <w:t>sanitation</w:t>
      </w:r>
      <w:r w:rsidRPr="006B4313">
        <w:rPr>
          <w:rFonts w:ascii="Trebuchet MS" w:hAnsi="Trebuchet MS"/>
          <w:sz w:val="28"/>
          <w:szCs w:val="28"/>
        </w:rPr>
        <w:t xml:space="preserve">, </w:t>
      </w:r>
      <w:r w:rsidRPr="006B4313">
        <w:rPr>
          <w:rFonts w:ascii="Trebuchet MS" w:hAnsi="Trebuchet MS"/>
          <w:b/>
          <w:bCs/>
          <w:i/>
          <w:iCs/>
          <w:sz w:val="28"/>
          <w:szCs w:val="28"/>
        </w:rPr>
        <w:t>energy, transport, financial services and digital communications</w:t>
      </w:r>
      <w:r w:rsidRPr="006B4313">
        <w:rPr>
          <w:rFonts w:ascii="Trebuchet MS" w:hAnsi="Trebuchet MS"/>
          <w:sz w:val="28"/>
          <w:szCs w:val="28"/>
        </w:rPr>
        <w:t>.</w:t>
      </w:r>
    </w:p>
    <w:p w14:paraId="756630C5" w14:textId="03229ECC" w:rsidR="00B653E9" w:rsidRPr="006B4313" w:rsidRDefault="00B653E9" w:rsidP="006B4313">
      <w:pPr>
        <w:ind w:right="403"/>
        <w:jc w:val="both"/>
        <w:rPr>
          <w:rFonts w:ascii="Trebuchet MS" w:hAnsi="Trebuchet MS"/>
          <w:sz w:val="28"/>
          <w:szCs w:val="28"/>
        </w:rPr>
      </w:pPr>
      <w:r w:rsidRPr="006B4313">
        <w:rPr>
          <w:rFonts w:ascii="Trebuchet MS" w:hAnsi="Trebuchet MS"/>
          <w:b/>
          <w:bCs/>
          <w:sz w:val="28"/>
          <w:szCs w:val="28"/>
        </w:rPr>
        <w:t>These essential services</w:t>
      </w:r>
      <w:r w:rsidRPr="006B4313">
        <w:rPr>
          <w:rFonts w:ascii="Trebuchet MS" w:hAnsi="Trebuchet MS"/>
          <w:sz w:val="28"/>
          <w:szCs w:val="28"/>
        </w:rPr>
        <w:t xml:space="preserve"> – although not directly addressed in the Treaties as such – </w:t>
      </w:r>
      <w:r w:rsidRPr="006B4313">
        <w:rPr>
          <w:rFonts w:ascii="Trebuchet MS" w:hAnsi="Trebuchet MS"/>
          <w:b/>
          <w:bCs/>
          <w:sz w:val="28"/>
          <w:szCs w:val="28"/>
        </w:rPr>
        <w:t>have been linked</w:t>
      </w:r>
      <w:r w:rsidRPr="006B4313">
        <w:rPr>
          <w:rFonts w:ascii="Trebuchet MS" w:hAnsi="Trebuchet MS"/>
          <w:sz w:val="28"/>
          <w:szCs w:val="28"/>
        </w:rPr>
        <w:t xml:space="preserve"> (EESC 2019) </w:t>
      </w:r>
      <w:r w:rsidRPr="006B4313">
        <w:rPr>
          <w:rFonts w:ascii="Trebuchet MS" w:hAnsi="Trebuchet MS"/>
          <w:b/>
          <w:bCs/>
          <w:sz w:val="28"/>
          <w:szCs w:val="28"/>
        </w:rPr>
        <w:t>to the concept of “services of general economic interest” (SGEIs)</w:t>
      </w:r>
      <w:r w:rsidRPr="006B4313">
        <w:rPr>
          <w:rFonts w:ascii="Trebuchet MS" w:hAnsi="Trebuchet MS"/>
          <w:sz w:val="28"/>
          <w:szCs w:val="28"/>
        </w:rPr>
        <w:t xml:space="preserve"> that are already covered by EU law. According to Article 36 of the </w:t>
      </w:r>
      <w:r w:rsidRPr="006B4313">
        <w:rPr>
          <w:rFonts w:ascii="Trebuchet MS" w:hAnsi="Trebuchet MS"/>
          <w:b/>
          <w:bCs/>
          <w:sz w:val="28"/>
          <w:szCs w:val="28"/>
        </w:rPr>
        <w:t>Charter of Fundamental Rights of the EU</w:t>
      </w:r>
      <w:r w:rsidRPr="006B4313">
        <w:rPr>
          <w:rFonts w:ascii="Trebuchet MS" w:hAnsi="Trebuchet MS"/>
          <w:sz w:val="28"/>
          <w:szCs w:val="28"/>
        </w:rPr>
        <w:t xml:space="preserve">, </w:t>
      </w:r>
      <w:r w:rsidRPr="006B4313">
        <w:rPr>
          <w:rFonts w:ascii="Trebuchet MS" w:hAnsi="Trebuchet MS"/>
          <w:b/>
          <w:bCs/>
          <w:sz w:val="28"/>
          <w:szCs w:val="28"/>
        </w:rPr>
        <w:t xml:space="preserve">the Union recognises and respects access to SGEIs, in order to promote the </w:t>
      </w:r>
      <w:r w:rsidRPr="006B4313">
        <w:rPr>
          <w:rFonts w:ascii="Trebuchet MS" w:hAnsi="Trebuchet MS"/>
          <w:b/>
          <w:bCs/>
          <w:sz w:val="28"/>
          <w:szCs w:val="28"/>
          <w:u w:val="single"/>
        </w:rPr>
        <w:t>social and territorial cohesion</w:t>
      </w:r>
      <w:r w:rsidRPr="006B4313">
        <w:rPr>
          <w:rFonts w:ascii="Trebuchet MS" w:hAnsi="Trebuchet MS"/>
          <w:b/>
          <w:bCs/>
          <w:sz w:val="28"/>
          <w:szCs w:val="28"/>
        </w:rPr>
        <w:t xml:space="preserve"> of the Union</w:t>
      </w:r>
      <w:r w:rsidRPr="006B4313">
        <w:rPr>
          <w:rFonts w:ascii="Trebuchet MS" w:hAnsi="Trebuchet MS"/>
          <w:sz w:val="28"/>
          <w:szCs w:val="28"/>
        </w:rPr>
        <w:t>.</w:t>
      </w:r>
    </w:p>
    <w:p w14:paraId="30593402" w14:textId="76AE4006" w:rsidR="00FB2D91" w:rsidRPr="006B4313" w:rsidRDefault="00B653E9" w:rsidP="006B4313">
      <w:pPr>
        <w:ind w:right="403"/>
        <w:jc w:val="both"/>
        <w:rPr>
          <w:rFonts w:ascii="Trebuchet MS" w:hAnsi="Trebuchet MS"/>
          <w:sz w:val="28"/>
          <w:szCs w:val="28"/>
        </w:rPr>
      </w:pPr>
      <w:r w:rsidRPr="006B4313">
        <w:rPr>
          <w:rFonts w:ascii="Trebuchet MS" w:hAnsi="Trebuchet MS"/>
          <w:sz w:val="28"/>
          <w:szCs w:val="28"/>
        </w:rPr>
        <w:t xml:space="preserve">Protocol 26 on services of general interest (annexed to the Treaty on the Functioning of the European Union (TFEU)) recognises the </w:t>
      </w:r>
      <w:r w:rsidRPr="006B4313">
        <w:rPr>
          <w:rFonts w:ascii="Trebuchet MS" w:hAnsi="Trebuchet MS"/>
          <w:b/>
          <w:bCs/>
          <w:sz w:val="28"/>
          <w:szCs w:val="28"/>
        </w:rPr>
        <w:t>essential role</w:t>
      </w:r>
      <w:r w:rsidRPr="006B4313">
        <w:rPr>
          <w:rFonts w:ascii="Trebuchet MS" w:hAnsi="Trebuchet MS"/>
          <w:sz w:val="28"/>
          <w:szCs w:val="28"/>
        </w:rPr>
        <w:t xml:space="preserve"> and wide discretion </w:t>
      </w:r>
      <w:r w:rsidRPr="006B4313">
        <w:rPr>
          <w:rFonts w:ascii="Trebuchet MS" w:hAnsi="Trebuchet MS"/>
          <w:b/>
          <w:bCs/>
          <w:sz w:val="28"/>
          <w:szCs w:val="28"/>
        </w:rPr>
        <w:t xml:space="preserve">of national, regional and local authorities in providing, commissioning and organising </w:t>
      </w:r>
      <w:r w:rsidRPr="006B4313">
        <w:rPr>
          <w:rFonts w:ascii="Trebuchet MS" w:hAnsi="Trebuchet MS"/>
          <w:sz w:val="28"/>
          <w:szCs w:val="28"/>
        </w:rPr>
        <w:t xml:space="preserve">these </w:t>
      </w:r>
      <w:r w:rsidRPr="006B4313">
        <w:rPr>
          <w:rFonts w:ascii="Trebuchet MS" w:hAnsi="Trebuchet MS"/>
          <w:b/>
          <w:bCs/>
          <w:sz w:val="28"/>
          <w:szCs w:val="28"/>
        </w:rPr>
        <w:t>services</w:t>
      </w:r>
      <w:r w:rsidRPr="006B4313">
        <w:rPr>
          <w:rFonts w:ascii="Trebuchet MS" w:hAnsi="Trebuchet MS"/>
          <w:sz w:val="28"/>
          <w:szCs w:val="28"/>
        </w:rPr>
        <w:t>, and their diversity within the Union. Equally, it highlights that</w:t>
      </w:r>
      <w:r w:rsidR="00F36DA5" w:rsidRPr="006B4313">
        <w:rPr>
          <w:rFonts w:ascii="Trebuchet MS" w:hAnsi="Trebuchet MS"/>
          <w:sz w:val="28"/>
          <w:szCs w:val="28"/>
        </w:rPr>
        <w:t xml:space="preserve"> the </w:t>
      </w:r>
      <w:r w:rsidRPr="006B4313">
        <w:rPr>
          <w:rFonts w:ascii="Trebuchet MS" w:hAnsi="Trebuchet MS"/>
          <w:sz w:val="28"/>
          <w:szCs w:val="28"/>
        </w:rPr>
        <w:t xml:space="preserve">values </w:t>
      </w:r>
      <w:r w:rsidR="00F36DA5" w:rsidRPr="006B4313">
        <w:rPr>
          <w:rFonts w:ascii="Trebuchet MS" w:hAnsi="Trebuchet MS"/>
          <w:sz w:val="28"/>
          <w:szCs w:val="28"/>
        </w:rPr>
        <w:t>related to the</w:t>
      </w:r>
      <w:r w:rsidRPr="006B4313">
        <w:rPr>
          <w:rFonts w:ascii="Trebuchet MS" w:hAnsi="Trebuchet MS"/>
          <w:sz w:val="28"/>
          <w:szCs w:val="28"/>
        </w:rPr>
        <w:t xml:space="preserve"> quality, safety and affordability, equal treatment, </w:t>
      </w:r>
      <w:r w:rsidRPr="006B4313">
        <w:rPr>
          <w:rFonts w:ascii="Trebuchet MS" w:hAnsi="Trebuchet MS"/>
          <w:b/>
          <w:bCs/>
          <w:sz w:val="28"/>
          <w:szCs w:val="28"/>
        </w:rPr>
        <w:t>universal access</w:t>
      </w:r>
      <w:r w:rsidRPr="006B4313">
        <w:rPr>
          <w:rFonts w:ascii="Trebuchet MS" w:hAnsi="Trebuchet MS"/>
          <w:sz w:val="28"/>
          <w:szCs w:val="28"/>
        </w:rPr>
        <w:t xml:space="preserve"> and users’ rights are shared values of the Union in respect of services of general economic interest. </w:t>
      </w:r>
    </w:p>
    <w:p w14:paraId="760C5F5C" w14:textId="7D73B61D" w:rsidR="00B653E9" w:rsidRPr="006B4313" w:rsidRDefault="00B653E9" w:rsidP="006B4313">
      <w:pPr>
        <w:ind w:right="403"/>
        <w:jc w:val="both"/>
        <w:rPr>
          <w:rFonts w:ascii="Trebuchet MS" w:hAnsi="Trebuchet MS"/>
          <w:sz w:val="28"/>
          <w:szCs w:val="28"/>
        </w:rPr>
      </w:pPr>
      <w:r w:rsidRPr="006B4313">
        <w:rPr>
          <w:rFonts w:ascii="Trebuchet MS" w:hAnsi="Trebuchet MS"/>
          <w:sz w:val="28"/>
          <w:szCs w:val="28"/>
        </w:rPr>
        <w:t>The concept of “essential services” as illustrated in Principle 20 of the EPSR by a non</w:t>
      </w:r>
      <w:r w:rsidR="00C65B75" w:rsidRPr="006B4313">
        <w:rPr>
          <w:rFonts w:ascii="Trebuchet MS" w:hAnsi="Trebuchet MS"/>
          <w:sz w:val="28"/>
          <w:szCs w:val="28"/>
        </w:rPr>
        <w:t>-</w:t>
      </w:r>
      <w:r w:rsidRPr="006B4313">
        <w:rPr>
          <w:rFonts w:ascii="Trebuchet MS" w:hAnsi="Trebuchet MS"/>
          <w:sz w:val="28"/>
          <w:szCs w:val="28"/>
        </w:rPr>
        <w:t>exhaustive list of services – water, sanitation, energy, transport, financial services and digital communications – is well established in the United Nations’ 2030 Agenda for Sustainable Development and its 17 Sustainable Development Goals (SDGs), proposed by the UN and endorsed by the EU. The concept of essential services used herein covers some of the essential services listed in Principle 20 (</w:t>
      </w:r>
      <w:proofErr w:type="gramStart"/>
      <w:r w:rsidRPr="006B4313">
        <w:rPr>
          <w:rFonts w:ascii="Trebuchet MS" w:hAnsi="Trebuchet MS"/>
          <w:sz w:val="28"/>
          <w:szCs w:val="28"/>
        </w:rPr>
        <w:t>e.g.</w:t>
      </w:r>
      <w:proofErr w:type="gramEnd"/>
      <w:r w:rsidRPr="006B4313">
        <w:rPr>
          <w:rFonts w:ascii="Trebuchet MS" w:hAnsi="Trebuchet MS"/>
          <w:sz w:val="28"/>
          <w:szCs w:val="28"/>
        </w:rPr>
        <w:t xml:space="preserve"> water, sanitation and energy) but also other key principles of the EPSR (e.g. access to healthcare, inclusive education and life-long learning).</w:t>
      </w:r>
    </w:p>
    <w:p w14:paraId="582116F6" w14:textId="6C5BE8D1" w:rsidR="00E05EED" w:rsidRDefault="00F36DA5" w:rsidP="006B4313">
      <w:pPr>
        <w:ind w:right="403"/>
        <w:jc w:val="both"/>
        <w:rPr>
          <w:rFonts w:ascii="Trebuchet MS" w:hAnsi="Trebuchet MS"/>
          <w:sz w:val="28"/>
          <w:szCs w:val="28"/>
        </w:rPr>
      </w:pPr>
      <w:r w:rsidRPr="006B4313">
        <w:rPr>
          <w:rFonts w:ascii="Trebuchet MS" w:hAnsi="Trebuchet MS"/>
          <w:sz w:val="28"/>
          <w:szCs w:val="28"/>
        </w:rPr>
        <w:t xml:space="preserve">But </w:t>
      </w:r>
      <w:r w:rsidRPr="006B4313">
        <w:rPr>
          <w:rFonts w:ascii="Trebuchet MS" w:hAnsi="Trebuchet MS"/>
          <w:b/>
          <w:bCs/>
          <w:sz w:val="28"/>
          <w:szCs w:val="28"/>
        </w:rPr>
        <w:t>providing these services</w:t>
      </w:r>
      <w:r w:rsidRPr="006B4313">
        <w:rPr>
          <w:rFonts w:ascii="Trebuchet MS" w:hAnsi="Trebuchet MS"/>
          <w:sz w:val="28"/>
          <w:szCs w:val="28"/>
        </w:rPr>
        <w:t xml:space="preserve"> – especially at a certain quality level – </w:t>
      </w:r>
      <w:r w:rsidRPr="006B4313">
        <w:rPr>
          <w:rFonts w:ascii="Trebuchet MS" w:hAnsi="Trebuchet MS"/>
          <w:b/>
          <w:bCs/>
          <w:sz w:val="28"/>
          <w:szCs w:val="28"/>
        </w:rPr>
        <w:t>starts with the appropriate administrative capacity of the public authorities involved</w:t>
      </w:r>
      <w:r w:rsidRPr="006B4313">
        <w:rPr>
          <w:rFonts w:ascii="Trebuchet MS" w:hAnsi="Trebuchet MS"/>
          <w:sz w:val="28"/>
          <w:szCs w:val="28"/>
        </w:rPr>
        <w:t xml:space="preserve">. Most </w:t>
      </w:r>
      <w:r w:rsidR="009F252D" w:rsidRPr="006B4313">
        <w:rPr>
          <w:rFonts w:ascii="Trebuchet MS" w:hAnsi="Trebuchet MS"/>
          <w:sz w:val="28"/>
          <w:szCs w:val="28"/>
        </w:rPr>
        <w:t xml:space="preserve">– if not all - </w:t>
      </w:r>
      <w:r w:rsidRPr="006B4313">
        <w:rPr>
          <w:rFonts w:ascii="Trebuchet MS" w:hAnsi="Trebuchet MS"/>
          <w:sz w:val="28"/>
          <w:szCs w:val="28"/>
        </w:rPr>
        <w:t xml:space="preserve">of </w:t>
      </w:r>
      <w:r w:rsidRPr="006B4313">
        <w:rPr>
          <w:rFonts w:ascii="Trebuchet MS" w:hAnsi="Trebuchet MS"/>
          <w:b/>
          <w:bCs/>
          <w:sz w:val="28"/>
          <w:szCs w:val="28"/>
        </w:rPr>
        <w:t>these essential services are provided</w:t>
      </w:r>
      <w:r w:rsidR="009F252D" w:rsidRPr="006B4313">
        <w:rPr>
          <w:rFonts w:ascii="Trebuchet MS" w:hAnsi="Trebuchet MS"/>
          <w:b/>
          <w:bCs/>
          <w:sz w:val="28"/>
          <w:szCs w:val="28"/>
        </w:rPr>
        <w:t xml:space="preserve"> </w:t>
      </w:r>
      <w:r w:rsidRPr="006B4313">
        <w:rPr>
          <w:rFonts w:ascii="Trebuchet MS" w:hAnsi="Trebuchet MS"/>
          <w:b/>
          <w:bCs/>
          <w:sz w:val="28"/>
          <w:szCs w:val="28"/>
        </w:rPr>
        <w:t xml:space="preserve">by the local and/or regional </w:t>
      </w:r>
      <w:r w:rsidR="009F252D" w:rsidRPr="006B4313">
        <w:rPr>
          <w:rFonts w:ascii="Trebuchet MS" w:hAnsi="Trebuchet MS"/>
          <w:b/>
          <w:bCs/>
          <w:sz w:val="28"/>
          <w:szCs w:val="28"/>
        </w:rPr>
        <w:t xml:space="preserve">public </w:t>
      </w:r>
      <w:r w:rsidRPr="006B4313">
        <w:rPr>
          <w:rFonts w:ascii="Trebuchet MS" w:hAnsi="Trebuchet MS"/>
          <w:b/>
          <w:bCs/>
          <w:sz w:val="28"/>
          <w:szCs w:val="28"/>
        </w:rPr>
        <w:t>authorities</w:t>
      </w:r>
      <w:r w:rsidR="00414282" w:rsidRPr="006B4313">
        <w:rPr>
          <w:rFonts w:ascii="Trebuchet MS" w:hAnsi="Trebuchet MS"/>
          <w:sz w:val="28"/>
          <w:szCs w:val="28"/>
        </w:rPr>
        <w:t>.</w:t>
      </w:r>
      <w:r w:rsidR="009F252D" w:rsidRPr="006B4313">
        <w:rPr>
          <w:rFonts w:ascii="Trebuchet MS" w:hAnsi="Trebuchet MS"/>
          <w:sz w:val="28"/>
          <w:szCs w:val="28"/>
        </w:rPr>
        <w:t xml:space="preserve"> </w:t>
      </w:r>
    </w:p>
    <w:p w14:paraId="1CFF9051" w14:textId="7CBAFBAE" w:rsidR="006B4313" w:rsidRDefault="006B4313" w:rsidP="006B4313">
      <w:pPr>
        <w:ind w:right="403"/>
        <w:jc w:val="both"/>
        <w:rPr>
          <w:rFonts w:ascii="Trebuchet MS" w:hAnsi="Trebuchet MS"/>
          <w:sz w:val="28"/>
          <w:szCs w:val="28"/>
        </w:rPr>
      </w:pPr>
    </w:p>
    <w:p w14:paraId="2C56354D" w14:textId="77777777" w:rsidR="006B4313" w:rsidRPr="006B4313" w:rsidRDefault="006B4313" w:rsidP="006B4313">
      <w:pPr>
        <w:ind w:right="403"/>
        <w:jc w:val="both"/>
        <w:rPr>
          <w:rFonts w:ascii="Trebuchet MS" w:hAnsi="Trebuchet MS"/>
          <w:sz w:val="28"/>
          <w:szCs w:val="28"/>
        </w:rPr>
      </w:pPr>
    </w:p>
    <w:p w14:paraId="59099DAA" w14:textId="398023A2" w:rsidR="00E74CAF" w:rsidRPr="006B4313" w:rsidRDefault="00E05EED" w:rsidP="006B4313">
      <w:pPr>
        <w:ind w:right="403"/>
        <w:jc w:val="both"/>
        <w:rPr>
          <w:rFonts w:ascii="Trebuchet MS" w:hAnsi="Trebuchet MS"/>
          <w:sz w:val="28"/>
          <w:szCs w:val="28"/>
        </w:rPr>
      </w:pPr>
      <w:r w:rsidRPr="006B4313">
        <w:rPr>
          <w:rFonts w:ascii="Trebuchet MS" w:hAnsi="Trebuchet MS"/>
          <w:b/>
          <w:bCs/>
          <w:sz w:val="28"/>
          <w:szCs w:val="28"/>
        </w:rPr>
        <w:t>Capacity building</w:t>
      </w:r>
      <w:r w:rsidRPr="006B4313">
        <w:rPr>
          <w:rFonts w:ascii="Trebuchet MS" w:hAnsi="Trebuchet MS"/>
          <w:sz w:val="28"/>
          <w:szCs w:val="28"/>
        </w:rPr>
        <w:t xml:space="preserve"> has played an essential role in the development of member states, special funding being allocated by the European Union particularly for this scope.</w:t>
      </w:r>
      <w:r w:rsidR="0068063D" w:rsidRPr="006B4313">
        <w:rPr>
          <w:rFonts w:ascii="Trebuchet MS" w:hAnsi="Trebuchet MS"/>
          <w:sz w:val="28"/>
          <w:szCs w:val="28"/>
        </w:rPr>
        <w:t xml:space="preserve"> </w:t>
      </w:r>
      <w:r w:rsidR="00B11E1F">
        <w:rPr>
          <w:rFonts w:ascii="Trebuchet MS" w:hAnsi="Trebuchet MS"/>
          <w:b/>
          <w:bCs/>
          <w:sz w:val="28"/>
          <w:szCs w:val="28"/>
        </w:rPr>
        <w:t>Local government a</w:t>
      </w:r>
      <w:r w:rsidR="0068063D" w:rsidRPr="006B4313">
        <w:rPr>
          <w:rFonts w:ascii="Trebuchet MS" w:hAnsi="Trebuchet MS"/>
          <w:b/>
          <w:bCs/>
          <w:sz w:val="28"/>
          <w:szCs w:val="28"/>
        </w:rPr>
        <w:t>dministrative capacity is extremely important when addressing major reforms like decentralization or administrative-territorial reorganisation</w:t>
      </w:r>
      <w:r w:rsidR="0068063D" w:rsidRPr="006B4313">
        <w:rPr>
          <w:rFonts w:ascii="Trebuchet MS" w:hAnsi="Trebuchet MS"/>
          <w:sz w:val="28"/>
          <w:szCs w:val="28"/>
        </w:rPr>
        <w:t xml:space="preserve">, but it is </w:t>
      </w:r>
      <w:r w:rsidR="0068063D" w:rsidRPr="006B4313">
        <w:rPr>
          <w:rFonts w:ascii="Trebuchet MS" w:hAnsi="Trebuchet MS"/>
          <w:b/>
          <w:bCs/>
          <w:sz w:val="28"/>
          <w:szCs w:val="28"/>
        </w:rPr>
        <w:t>just as important in evaluating public services provision</w:t>
      </w:r>
      <w:r w:rsidR="0068063D" w:rsidRPr="006B4313">
        <w:rPr>
          <w:rFonts w:ascii="Trebuchet MS" w:hAnsi="Trebuchet MS"/>
          <w:sz w:val="28"/>
          <w:szCs w:val="28"/>
        </w:rPr>
        <w:t xml:space="preserve">, especially </w:t>
      </w:r>
      <w:r w:rsidR="00C52BF1" w:rsidRPr="006B4313">
        <w:rPr>
          <w:rFonts w:ascii="Trebuchet MS" w:hAnsi="Trebuchet MS"/>
          <w:sz w:val="28"/>
          <w:szCs w:val="28"/>
        </w:rPr>
        <w:t xml:space="preserve">when </w:t>
      </w:r>
      <w:r w:rsidR="00C52BF1" w:rsidRPr="006B4313">
        <w:rPr>
          <w:rFonts w:ascii="Trebuchet MS" w:hAnsi="Trebuchet MS"/>
          <w:b/>
          <w:bCs/>
          <w:sz w:val="28"/>
          <w:szCs w:val="28"/>
        </w:rPr>
        <w:t xml:space="preserve">addressing </w:t>
      </w:r>
      <w:r w:rsidR="00CA5623" w:rsidRPr="006B4313">
        <w:rPr>
          <w:rFonts w:ascii="Trebuchet MS" w:hAnsi="Trebuchet MS"/>
          <w:b/>
          <w:bCs/>
          <w:sz w:val="28"/>
          <w:szCs w:val="28"/>
        </w:rPr>
        <w:t xml:space="preserve">the </w:t>
      </w:r>
      <w:r w:rsidR="0068063D" w:rsidRPr="006B4313">
        <w:rPr>
          <w:rFonts w:ascii="Trebuchet MS" w:hAnsi="Trebuchet MS"/>
          <w:b/>
          <w:bCs/>
          <w:sz w:val="28"/>
          <w:szCs w:val="28"/>
        </w:rPr>
        <w:t xml:space="preserve">essential </w:t>
      </w:r>
      <w:r w:rsidR="00E74CAF" w:rsidRPr="006B4313">
        <w:rPr>
          <w:rFonts w:ascii="Trebuchet MS" w:hAnsi="Trebuchet MS"/>
          <w:b/>
          <w:bCs/>
          <w:sz w:val="28"/>
          <w:szCs w:val="28"/>
        </w:rPr>
        <w:t>services</w:t>
      </w:r>
      <w:r w:rsidR="00CA5623" w:rsidRPr="006B4313">
        <w:rPr>
          <w:rFonts w:ascii="Trebuchet MS" w:hAnsi="Trebuchet MS"/>
          <w:b/>
          <w:bCs/>
          <w:sz w:val="28"/>
          <w:szCs w:val="28"/>
        </w:rPr>
        <w:t xml:space="preserve"> which are vital to citizens’ daily lives</w:t>
      </w:r>
      <w:r w:rsidR="00CA5623" w:rsidRPr="006B4313">
        <w:rPr>
          <w:rFonts w:ascii="Trebuchet MS" w:hAnsi="Trebuchet MS"/>
          <w:sz w:val="28"/>
          <w:szCs w:val="28"/>
        </w:rPr>
        <w:t>.</w:t>
      </w:r>
      <w:r w:rsidR="00E74CAF" w:rsidRPr="006B4313">
        <w:rPr>
          <w:rFonts w:ascii="Trebuchet MS" w:hAnsi="Trebuchet MS"/>
          <w:sz w:val="28"/>
          <w:szCs w:val="28"/>
        </w:rPr>
        <w:t xml:space="preserve"> </w:t>
      </w:r>
      <w:r w:rsidR="00E74CAF" w:rsidRPr="006B4313">
        <w:rPr>
          <w:rFonts w:ascii="Trebuchet MS" w:hAnsi="Trebuchet MS"/>
          <w:b/>
          <w:bCs/>
          <w:sz w:val="28"/>
          <w:szCs w:val="28"/>
          <w:u w:val="single"/>
        </w:rPr>
        <w:t>So how is administrative capacity evaluated, with a particular focus on the provision of the essential services</w:t>
      </w:r>
      <w:r w:rsidR="00E74CAF" w:rsidRPr="006B4313">
        <w:rPr>
          <w:rFonts w:ascii="Trebuchet MS" w:hAnsi="Trebuchet MS"/>
          <w:sz w:val="28"/>
          <w:szCs w:val="28"/>
        </w:rPr>
        <w:t xml:space="preserve"> illustrated in Principle 20 of the EPSR?</w:t>
      </w:r>
    </w:p>
    <w:p w14:paraId="5811B44E" w14:textId="118A913D" w:rsidR="00137C24" w:rsidRPr="006B4313" w:rsidRDefault="00DE354E" w:rsidP="006B4313">
      <w:pPr>
        <w:ind w:right="403"/>
        <w:jc w:val="both"/>
        <w:rPr>
          <w:rFonts w:ascii="Trebuchet MS" w:hAnsi="Trebuchet MS"/>
          <w:sz w:val="28"/>
          <w:szCs w:val="28"/>
        </w:rPr>
      </w:pPr>
      <w:r w:rsidRPr="006B4313">
        <w:rPr>
          <w:rFonts w:ascii="Trebuchet MS" w:hAnsi="Trebuchet MS"/>
          <w:sz w:val="28"/>
          <w:szCs w:val="28"/>
        </w:rPr>
        <w:t xml:space="preserve">The Ministry of Development, Public Works and Administration is interested in </w:t>
      </w:r>
      <w:r w:rsidRPr="006B4313">
        <w:rPr>
          <w:rFonts w:ascii="Trebuchet MS" w:hAnsi="Trebuchet MS"/>
          <w:b/>
          <w:bCs/>
          <w:sz w:val="28"/>
          <w:szCs w:val="28"/>
        </w:rPr>
        <w:t xml:space="preserve">developing the current </w:t>
      </w:r>
      <w:r w:rsidRPr="006B4313">
        <w:rPr>
          <w:rFonts w:ascii="Trebuchet MS" w:hAnsi="Trebuchet MS"/>
          <w:b/>
          <w:bCs/>
          <w:sz w:val="28"/>
          <w:szCs w:val="28"/>
          <w:u w:val="single"/>
        </w:rPr>
        <w:t xml:space="preserve">methodology </w:t>
      </w:r>
      <w:r w:rsidR="00137C24" w:rsidRPr="006B4313">
        <w:rPr>
          <w:rFonts w:ascii="Trebuchet MS" w:hAnsi="Trebuchet MS"/>
          <w:b/>
          <w:bCs/>
          <w:sz w:val="28"/>
          <w:szCs w:val="28"/>
          <w:u w:val="single"/>
        </w:rPr>
        <w:t>on the evaluation of the administrative capacity of administrative-territorial units</w:t>
      </w:r>
      <w:r w:rsidR="00293329" w:rsidRPr="006B4313">
        <w:rPr>
          <w:rFonts w:ascii="Trebuchet MS" w:hAnsi="Trebuchet MS"/>
          <w:sz w:val="28"/>
          <w:szCs w:val="28"/>
        </w:rPr>
        <w:t xml:space="preserve">, as approved in annex 5 of the </w:t>
      </w:r>
      <w:r w:rsidR="00137C24" w:rsidRPr="006B4313">
        <w:rPr>
          <w:rFonts w:ascii="Trebuchet MS" w:hAnsi="Trebuchet MS"/>
          <w:sz w:val="28"/>
          <w:szCs w:val="28"/>
        </w:rPr>
        <w:t>Government Decision no. 800/2022</w:t>
      </w:r>
      <w:r w:rsidR="006B4313">
        <w:rPr>
          <w:rFonts w:ascii="Trebuchet MS" w:hAnsi="Trebuchet MS"/>
          <w:sz w:val="28"/>
          <w:szCs w:val="28"/>
        </w:rPr>
        <w:t>,</w:t>
      </w:r>
      <w:r w:rsidR="00137C24" w:rsidRPr="006B4313">
        <w:rPr>
          <w:rFonts w:ascii="Trebuchet MS" w:hAnsi="Trebuchet MS"/>
          <w:sz w:val="28"/>
          <w:szCs w:val="28"/>
        </w:rPr>
        <w:t xml:space="preserve"> </w:t>
      </w:r>
      <w:r w:rsidR="00293329" w:rsidRPr="006B4313">
        <w:rPr>
          <w:rFonts w:ascii="Trebuchet MS" w:hAnsi="Trebuchet MS"/>
          <w:b/>
          <w:bCs/>
          <w:sz w:val="28"/>
          <w:szCs w:val="28"/>
        </w:rPr>
        <w:t xml:space="preserve">with the </w:t>
      </w:r>
      <w:r w:rsidR="00293329" w:rsidRPr="006B4313">
        <w:rPr>
          <w:rFonts w:ascii="Trebuchet MS" w:hAnsi="Trebuchet MS"/>
          <w:b/>
          <w:bCs/>
          <w:sz w:val="28"/>
          <w:szCs w:val="28"/>
          <w:u w:val="single"/>
        </w:rPr>
        <w:t>inclusion of data/</w:t>
      </w:r>
      <w:r w:rsidR="00CA5623" w:rsidRPr="006B4313">
        <w:rPr>
          <w:rFonts w:ascii="Trebuchet MS" w:hAnsi="Trebuchet MS"/>
          <w:b/>
          <w:bCs/>
          <w:sz w:val="28"/>
          <w:szCs w:val="28"/>
          <w:u w:val="single"/>
        </w:rPr>
        <w:t>indicators that asses</w:t>
      </w:r>
      <w:r w:rsidR="006B4313">
        <w:rPr>
          <w:rFonts w:ascii="Trebuchet MS" w:hAnsi="Trebuchet MS"/>
          <w:b/>
          <w:bCs/>
          <w:sz w:val="28"/>
          <w:szCs w:val="28"/>
          <w:u w:val="single"/>
        </w:rPr>
        <w:t>s</w:t>
      </w:r>
      <w:r w:rsidR="00CA5623" w:rsidRPr="006B4313">
        <w:rPr>
          <w:rFonts w:ascii="Trebuchet MS" w:hAnsi="Trebuchet MS"/>
          <w:sz w:val="28"/>
          <w:szCs w:val="28"/>
          <w:u w:val="single"/>
        </w:rPr>
        <w:t xml:space="preserve"> </w:t>
      </w:r>
      <w:r w:rsidR="00CA5623" w:rsidRPr="006B4313">
        <w:rPr>
          <w:rFonts w:ascii="Trebuchet MS" w:hAnsi="Trebuchet MS"/>
          <w:b/>
          <w:bCs/>
          <w:sz w:val="28"/>
          <w:szCs w:val="28"/>
          <w:u w:val="single"/>
        </w:rPr>
        <w:t>local authorities’</w:t>
      </w:r>
      <w:r w:rsidR="00AB7374" w:rsidRPr="006B4313">
        <w:rPr>
          <w:rFonts w:ascii="Trebuchet MS" w:hAnsi="Trebuchet MS"/>
          <w:b/>
          <w:bCs/>
          <w:sz w:val="28"/>
          <w:szCs w:val="28"/>
          <w:u w:val="single"/>
        </w:rPr>
        <w:t xml:space="preserve"> </w:t>
      </w:r>
      <w:r w:rsidR="00CA5623" w:rsidRPr="006B4313">
        <w:rPr>
          <w:rFonts w:ascii="Trebuchet MS" w:hAnsi="Trebuchet MS"/>
          <w:b/>
          <w:bCs/>
          <w:sz w:val="28"/>
          <w:szCs w:val="28"/>
          <w:u w:val="single"/>
        </w:rPr>
        <w:t xml:space="preserve">capacity to provide the essential services </w:t>
      </w:r>
      <w:r w:rsidR="00CA5623" w:rsidRPr="006B4313">
        <w:rPr>
          <w:rFonts w:ascii="Trebuchet MS" w:hAnsi="Trebuchet MS"/>
          <w:b/>
          <w:bCs/>
          <w:sz w:val="28"/>
          <w:szCs w:val="28"/>
        </w:rPr>
        <w:t>citizens need on a daily basis</w:t>
      </w:r>
      <w:r w:rsidR="00CA5623" w:rsidRPr="006B4313">
        <w:rPr>
          <w:rFonts w:ascii="Trebuchet MS" w:hAnsi="Trebuchet MS"/>
          <w:sz w:val="28"/>
          <w:szCs w:val="28"/>
        </w:rPr>
        <w:t>.</w:t>
      </w:r>
      <w:r w:rsidR="00AB7374" w:rsidRPr="006B4313">
        <w:rPr>
          <w:rFonts w:ascii="Trebuchet MS" w:hAnsi="Trebuchet MS"/>
          <w:sz w:val="28"/>
          <w:szCs w:val="28"/>
        </w:rPr>
        <w:t xml:space="preserve"> </w:t>
      </w:r>
    </w:p>
    <w:p w14:paraId="61EA8F9E" w14:textId="636949DC" w:rsidR="00E74CAF" w:rsidRPr="006B4313" w:rsidRDefault="00AB7374" w:rsidP="006B4313">
      <w:pPr>
        <w:ind w:right="403"/>
        <w:jc w:val="both"/>
        <w:rPr>
          <w:rFonts w:ascii="Trebuchet MS" w:hAnsi="Trebuchet MS"/>
          <w:sz w:val="28"/>
          <w:szCs w:val="28"/>
        </w:rPr>
      </w:pPr>
      <w:r w:rsidRPr="006B4313">
        <w:rPr>
          <w:rFonts w:ascii="Trebuchet MS" w:hAnsi="Trebuchet MS"/>
          <w:sz w:val="28"/>
          <w:szCs w:val="28"/>
        </w:rPr>
        <w:t xml:space="preserve">The development of this methodology </w:t>
      </w:r>
      <w:r w:rsidR="00AE36C5" w:rsidRPr="006B4313">
        <w:rPr>
          <w:rFonts w:ascii="Trebuchet MS" w:hAnsi="Trebuchet MS"/>
          <w:sz w:val="28"/>
          <w:szCs w:val="28"/>
        </w:rPr>
        <w:t>represent</w:t>
      </w:r>
      <w:r w:rsidR="00C57ABD" w:rsidRPr="006B4313">
        <w:rPr>
          <w:rFonts w:ascii="Trebuchet MS" w:hAnsi="Trebuchet MS"/>
          <w:sz w:val="28"/>
          <w:szCs w:val="28"/>
        </w:rPr>
        <w:t>s</w:t>
      </w:r>
      <w:r w:rsidR="00AE36C5" w:rsidRPr="006B4313">
        <w:rPr>
          <w:rFonts w:ascii="Trebuchet MS" w:hAnsi="Trebuchet MS"/>
          <w:sz w:val="28"/>
          <w:szCs w:val="28"/>
        </w:rPr>
        <w:t xml:space="preserve"> a first step in a more accurate administrative capacity evaluation that could create a </w:t>
      </w:r>
      <w:r w:rsidR="00AE36C5" w:rsidRPr="006B4313">
        <w:rPr>
          <w:rFonts w:ascii="Trebuchet MS" w:hAnsi="Trebuchet MS"/>
          <w:b/>
          <w:bCs/>
          <w:sz w:val="28"/>
          <w:szCs w:val="28"/>
        </w:rPr>
        <w:t>possible basis for future public policies and funding allocation</w:t>
      </w:r>
      <w:r w:rsidR="00AE36C5" w:rsidRPr="006B4313">
        <w:rPr>
          <w:rFonts w:ascii="Trebuchet MS" w:hAnsi="Trebuchet MS"/>
          <w:sz w:val="28"/>
          <w:szCs w:val="28"/>
        </w:rPr>
        <w:t xml:space="preserve">, as a </w:t>
      </w:r>
      <w:r w:rsidR="00AE36C5" w:rsidRPr="006B4313">
        <w:rPr>
          <w:rFonts w:ascii="Trebuchet MS" w:hAnsi="Trebuchet MS"/>
          <w:b/>
          <w:bCs/>
          <w:sz w:val="28"/>
          <w:szCs w:val="28"/>
        </w:rPr>
        <w:t>clear support</w:t>
      </w:r>
      <w:r w:rsidR="00AE36C5" w:rsidRPr="006B4313">
        <w:rPr>
          <w:rFonts w:ascii="Trebuchet MS" w:hAnsi="Trebuchet MS"/>
          <w:sz w:val="28"/>
          <w:szCs w:val="28"/>
        </w:rPr>
        <w:t xml:space="preserve"> </w:t>
      </w:r>
      <w:r w:rsidR="00AE36C5" w:rsidRPr="006B4313">
        <w:rPr>
          <w:rFonts w:ascii="Trebuchet MS" w:hAnsi="Trebuchet MS"/>
          <w:b/>
          <w:bCs/>
          <w:sz w:val="28"/>
          <w:szCs w:val="28"/>
        </w:rPr>
        <w:t xml:space="preserve">central Government offers the local level in their efforts to </w:t>
      </w:r>
      <w:r w:rsidR="00AE36C5" w:rsidRPr="006B4313">
        <w:rPr>
          <w:rFonts w:ascii="Trebuchet MS" w:hAnsi="Trebuchet MS"/>
          <w:b/>
          <w:bCs/>
          <w:sz w:val="28"/>
          <w:szCs w:val="28"/>
          <w:u w:val="single"/>
        </w:rPr>
        <w:t>improve service provision for the ultimate benefit of citizens</w:t>
      </w:r>
      <w:r w:rsidR="00AE36C5" w:rsidRPr="006B4313">
        <w:rPr>
          <w:rFonts w:ascii="Trebuchet MS" w:hAnsi="Trebuchet MS"/>
          <w:sz w:val="28"/>
          <w:szCs w:val="28"/>
        </w:rPr>
        <w:t xml:space="preserve">. </w:t>
      </w:r>
    </w:p>
    <w:p w14:paraId="69368A34" w14:textId="77777777" w:rsidR="00C65B75" w:rsidRPr="006B4313" w:rsidRDefault="00C65B75" w:rsidP="006B4313">
      <w:pPr>
        <w:ind w:right="403"/>
        <w:jc w:val="both"/>
        <w:rPr>
          <w:rFonts w:ascii="Trebuchet MS" w:hAnsi="Trebuchet MS"/>
          <w:sz w:val="28"/>
          <w:szCs w:val="28"/>
        </w:rPr>
      </w:pPr>
    </w:p>
    <w:p w14:paraId="76B21F7C" w14:textId="3E25E79B" w:rsidR="00C57ABD" w:rsidRPr="006B4313" w:rsidRDefault="00AE36C5" w:rsidP="006B4313">
      <w:pPr>
        <w:ind w:right="403"/>
        <w:jc w:val="both"/>
        <w:rPr>
          <w:rFonts w:ascii="Trebuchet MS" w:hAnsi="Trebuchet MS"/>
          <w:sz w:val="28"/>
          <w:szCs w:val="28"/>
        </w:rPr>
      </w:pPr>
      <w:r w:rsidRPr="006B4313">
        <w:rPr>
          <w:rFonts w:ascii="Trebuchet MS" w:hAnsi="Trebuchet MS"/>
          <w:sz w:val="28"/>
          <w:szCs w:val="28"/>
        </w:rPr>
        <w:t xml:space="preserve">With these in mind, </w:t>
      </w:r>
      <w:r w:rsidR="00C65B75" w:rsidRPr="006B4313">
        <w:rPr>
          <w:rFonts w:ascii="Trebuchet MS" w:hAnsi="Trebuchet MS"/>
          <w:b/>
          <w:bCs/>
          <w:sz w:val="28"/>
          <w:szCs w:val="28"/>
        </w:rPr>
        <w:t>if you are interested in</w:t>
      </w:r>
      <w:r w:rsidR="00C65B75" w:rsidRPr="006B4313">
        <w:rPr>
          <w:rFonts w:ascii="Trebuchet MS" w:hAnsi="Trebuchet MS"/>
          <w:sz w:val="28"/>
          <w:szCs w:val="28"/>
        </w:rPr>
        <w:t xml:space="preserve"> </w:t>
      </w:r>
      <w:r w:rsidR="00C65B75" w:rsidRPr="006B4313">
        <w:rPr>
          <w:rFonts w:ascii="Trebuchet MS" w:hAnsi="Trebuchet MS"/>
          <w:b/>
          <w:bCs/>
          <w:sz w:val="28"/>
          <w:szCs w:val="28"/>
          <w:u w:val="single"/>
        </w:rPr>
        <w:t>developing service provision in one of the areas defined as essential</w:t>
      </w:r>
      <w:r w:rsidR="00C65B75" w:rsidRPr="006B4313">
        <w:rPr>
          <w:rFonts w:ascii="Trebuchet MS" w:hAnsi="Trebuchet MS"/>
          <w:sz w:val="28"/>
          <w:szCs w:val="28"/>
        </w:rPr>
        <w:t xml:space="preserve">, </w:t>
      </w:r>
      <w:r w:rsidR="00C65B75" w:rsidRPr="006B4313">
        <w:rPr>
          <w:rFonts w:ascii="Trebuchet MS" w:hAnsi="Trebuchet MS"/>
          <w:b/>
          <w:bCs/>
          <w:sz w:val="28"/>
          <w:szCs w:val="28"/>
        </w:rPr>
        <w:t xml:space="preserve">if you would like </w:t>
      </w:r>
      <w:r w:rsidR="00C65B75" w:rsidRPr="006B4313">
        <w:rPr>
          <w:rFonts w:ascii="Trebuchet MS" w:hAnsi="Trebuchet MS"/>
          <w:b/>
          <w:bCs/>
          <w:sz w:val="28"/>
          <w:szCs w:val="28"/>
          <w:u w:val="single"/>
        </w:rPr>
        <w:t>to</w:t>
      </w:r>
      <w:r w:rsidR="00C65B75" w:rsidRPr="006B4313">
        <w:rPr>
          <w:rFonts w:ascii="Trebuchet MS" w:hAnsi="Trebuchet MS"/>
          <w:sz w:val="28"/>
          <w:szCs w:val="28"/>
          <w:u w:val="single"/>
        </w:rPr>
        <w:t xml:space="preserve"> </w:t>
      </w:r>
      <w:r w:rsidR="00C65B75" w:rsidRPr="006B4313">
        <w:rPr>
          <w:rFonts w:ascii="Trebuchet MS" w:hAnsi="Trebuchet MS"/>
          <w:b/>
          <w:bCs/>
          <w:sz w:val="28"/>
          <w:szCs w:val="28"/>
          <w:u w:val="single"/>
        </w:rPr>
        <w:t>update/complete your local/regional development stra</w:t>
      </w:r>
      <w:r w:rsidR="00C57ABD" w:rsidRPr="006B4313">
        <w:rPr>
          <w:rFonts w:ascii="Trebuchet MS" w:hAnsi="Trebuchet MS"/>
          <w:b/>
          <w:bCs/>
          <w:sz w:val="28"/>
          <w:szCs w:val="28"/>
          <w:u w:val="single"/>
        </w:rPr>
        <w:t>t</w:t>
      </w:r>
      <w:r w:rsidR="00C65B75" w:rsidRPr="006B4313">
        <w:rPr>
          <w:rFonts w:ascii="Trebuchet MS" w:hAnsi="Trebuchet MS"/>
          <w:b/>
          <w:bCs/>
          <w:sz w:val="28"/>
          <w:szCs w:val="28"/>
          <w:u w:val="single"/>
        </w:rPr>
        <w:t>egy</w:t>
      </w:r>
      <w:r w:rsidR="00C65B75" w:rsidRPr="006B4313">
        <w:rPr>
          <w:rFonts w:ascii="Trebuchet MS" w:hAnsi="Trebuchet MS"/>
          <w:sz w:val="28"/>
          <w:szCs w:val="28"/>
        </w:rPr>
        <w:t xml:space="preserve">, with a focus on one of the essential services' </w:t>
      </w:r>
      <w:proofErr w:type="gramStart"/>
      <w:r w:rsidR="00C57ABD" w:rsidRPr="006B4313">
        <w:rPr>
          <w:rFonts w:ascii="Trebuchet MS" w:hAnsi="Trebuchet MS"/>
          <w:sz w:val="28"/>
          <w:szCs w:val="28"/>
        </w:rPr>
        <w:t>provision</w:t>
      </w:r>
      <w:proofErr w:type="gramEnd"/>
      <w:r w:rsidR="00C65B75" w:rsidRPr="006B4313">
        <w:rPr>
          <w:rFonts w:ascii="Trebuchet MS" w:hAnsi="Trebuchet MS"/>
          <w:sz w:val="28"/>
          <w:szCs w:val="28"/>
        </w:rPr>
        <w:t xml:space="preserve">, should you </w:t>
      </w:r>
      <w:r w:rsidR="00C65B75" w:rsidRPr="006B4313">
        <w:rPr>
          <w:rFonts w:ascii="Trebuchet MS" w:hAnsi="Trebuchet MS"/>
          <w:b/>
          <w:bCs/>
          <w:sz w:val="28"/>
          <w:szCs w:val="28"/>
          <w:u w:val="single"/>
        </w:rPr>
        <w:t xml:space="preserve">have any interest in </w:t>
      </w:r>
      <w:r w:rsidR="00B11E1F">
        <w:rPr>
          <w:rFonts w:ascii="Trebuchet MS" w:hAnsi="Trebuchet MS"/>
          <w:b/>
          <w:bCs/>
          <w:sz w:val="28"/>
          <w:szCs w:val="28"/>
          <w:u w:val="single"/>
        </w:rPr>
        <w:t xml:space="preserve">local government </w:t>
      </w:r>
      <w:r w:rsidR="00C65B75" w:rsidRPr="006B4313">
        <w:rPr>
          <w:rFonts w:ascii="Trebuchet MS" w:hAnsi="Trebuchet MS"/>
          <w:b/>
          <w:bCs/>
          <w:sz w:val="28"/>
          <w:szCs w:val="28"/>
          <w:u w:val="single"/>
        </w:rPr>
        <w:t>administrative capacity evaluation</w:t>
      </w:r>
      <w:r w:rsidR="00C65B75" w:rsidRPr="006B4313">
        <w:rPr>
          <w:rFonts w:ascii="Trebuchet MS" w:hAnsi="Trebuchet MS"/>
          <w:sz w:val="28"/>
          <w:szCs w:val="28"/>
        </w:rPr>
        <w:t xml:space="preserve"> or </w:t>
      </w:r>
      <w:r w:rsidR="00C65B75" w:rsidRPr="006B4313">
        <w:rPr>
          <w:rFonts w:ascii="Trebuchet MS" w:hAnsi="Trebuchet MS"/>
          <w:b/>
          <w:bCs/>
          <w:sz w:val="28"/>
          <w:szCs w:val="28"/>
        </w:rPr>
        <w:t>can relate to our project idea</w:t>
      </w:r>
      <w:r w:rsidR="00C57ABD" w:rsidRPr="006B4313">
        <w:rPr>
          <w:rFonts w:ascii="Trebuchet MS" w:hAnsi="Trebuchet MS"/>
          <w:b/>
          <w:bCs/>
          <w:sz w:val="28"/>
          <w:szCs w:val="28"/>
        </w:rPr>
        <w:t xml:space="preserve"> in any other way</w:t>
      </w:r>
      <w:r w:rsidR="00C65B75" w:rsidRPr="006B4313">
        <w:rPr>
          <w:rFonts w:ascii="Trebuchet MS" w:hAnsi="Trebuchet MS"/>
          <w:sz w:val="28"/>
          <w:szCs w:val="28"/>
        </w:rPr>
        <w:t xml:space="preserve">, please don't hesitate to </w:t>
      </w:r>
      <w:r w:rsidR="00C65B75" w:rsidRPr="006B4313">
        <w:rPr>
          <w:rFonts w:ascii="Trebuchet MS" w:hAnsi="Trebuchet MS"/>
          <w:b/>
          <w:bCs/>
          <w:sz w:val="28"/>
          <w:szCs w:val="28"/>
          <w:u w:val="single"/>
        </w:rPr>
        <w:t>contact us</w:t>
      </w:r>
      <w:r w:rsidR="00C65B75" w:rsidRPr="006B4313">
        <w:rPr>
          <w:rFonts w:ascii="Trebuchet MS" w:hAnsi="Trebuchet MS"/>
          <w:sz w:val="28"/>
          <w:szCs w:val="28"/>
        </w:rPr>
        <w:t xml:space="preserve">. </w:t>
      </w:r>
    </w:p>
    <w:p w14:paraId="34F7FC84" w14:textId="06409A3E" w:rsidR="00AB7374" w:rsidRDefault="00C65B75" w:rsidP="006B4313">
      <w:pPr>
        <w:ind w:right="403"/>
        <w:jc w:val="both"/>
        <w:rPr>
          <w:rFonts w:ascii="Trebuchet MS" w:hAnsi="Trebuchet MS"/>
          <w:sz w:val="28"/>
          <w:szCs w:val="28"/>
        </w:rPr>
      </w:pPr>
      <w:r w:rsidRPr="006B4313">
        <w:rPr>
          <w:rFonts w:ascii="Trebuchet MS" w:hAnsi="Trebuchet MS"/>
          <w:sz w:val="28"/>
          <w:szCs w:val="28"/>
        </w:rPr>
        <w:t xml:space="preserve">We are </w:t>
      </w:r>
      <w:r w:rsidRPr="006B4313">
        <w:rPr>
          <w:rFonts w:ascii="Trebuchet MS" w:hAnsi="Trebuchet MS"/>
          <w:b/>
          <w:bCs/>
          <w:sz w:val="28"/>
          <w:szCs w:val="28"/>
          <w:u w:val="single"/>
        </w:rPr>
        <w:t>currently looking for potential partners</w:t>
      </w:r>
      <w:r w:rsidRPr="006B4313">
        <w:rPr>
          <w:rFonts w:ascii="Trebuchet MS" w:hAnsi="Trebuchet MS"/>
          <w:sz w:val="28"/>
          <w:szCs w:val="28"/>
        </w:rPr>
        <w:t xml:space="preserve"> that we can further </w:t>
      </w:r>
      <w:r w:rsidRPr="006B4313">
        <w:rPr>
          <w:rFonts w:ascii="Trebuchet MS" w:hAnsi="Trebuchet MS"/>
          <w:b/>
          <w:bCs/>
          <w:sz w:val="28"/>
          <w:szCs w:val="28"/>
        </w:rPr>
        <w:t xml:space="preserve">develop this project </w:t>
      </w:r>
      <w:r w:rsidRPr="006B4313">
        <w:rPr>
          <w:rFonts w:ascii="Trebuchet MS" w:hAnsi="Trebuchet MS"/>
          <w:sz w:val="28"/>
          <w:szCs w:val="28"/>
        </w:rPr>
        <w:t xml:space="preserve">in order to </w:t>
      </w:r>
      <w:r w:rsidRPr="006B4313">
        <w:rPr>
          <w:rFonts w:ascii="Trebuchet MS" w:hAnsi="Trebuchet MS"/>
          <w:b/>
          <w:bCs/>
          <w:sz w:val="28"/>
          <w:szCs w:val="28"/>
        </w:rPr>
        <w:t xml:space="preserve">submit it for financing under the (estimated) </w:t>
      </w:r>
      <w:r w:rsidRPr="006B4313">
        <w:rPr>
          <w:rFonts w:ascii="Trebuchet MS" w:hAnsi="Trebuchet MS"/>
          <w:b/>
          <w:bCs/>
          <w:sz w:val="28"/>
          <w:szCs w:val="28"/>
          <w:u w:val="single"/>
        </w:rPr>
        <w:t>March 2023 Interreg Europe</w:t>
      </w:r>
      <w:r w:rsidRPr="006B4313">
        <w:rPr>
          <w:rFonts w:ascii="Trebuchet MS" w:hAnsi="Trebuchet MS"/>
          <w:b/>
          <w:bCs/>
          <w:sz w:val="28"/>
          <w:szCs w:val="28"/>
        </w:rPr>
        <w:t xml:space="preserve"> call</w:t>
      </w:r>
      <w:r w:rsidRPr="006B4313">
        <w:rPr>
          <w:rFonts w:ascii="Trebuchet MS" w:hAnsi="Trebuchet MS"/>
          <w:sz w:val="28"/>
          <w:szCs w:val="28"/>
        </w:rPr>
        <w:t>.</w:t>
      </w:r>
    </w:p>
    <w:p w14:paraId="75FBAFCB" w14:textId="77777777" w:rsidR="00FC7B05" w:rsidRDefault="00FC7B05" w:rsidP="00FC7B05">
      <w:pPr>
        <w:spacing w:after="0" w:line="240" w:lineRule="auto"/>
        <w:ind w:right="403"/>
        <w:jc w:val="both"/>
        <w:rPr>
          <w:rFonts w:ascii="Trebuchet MS" w:hAnsi="Trebuchet MS"/>
          <w:sz w:val="28"/>
          <w:szCs w:val="28"/>
        </w:rPr>
      </w:pPr>
    </w:p>
    <w:p w14:paraId="24C0D0D1" w14:textId="3D5B6342" w:rsidR="00FC7B05" w:rsidRPr="00077B08" w:rsidRDefault="00FC7B05" w:rsidP="00FC7B05">
      <w:pPr>
        <w:spacing w:after="0" w:line="240" w:lineRule="auto"/>
        <w:ind w:right="403"/>
        <w:jc w:val="both"/>
        <w:rPr>
          <w:rFonts w:ascii="Trebuchet MS" w:hAnsi="Trebuchet MS"/>
          <w:b/>
          <w:bCs/>
          <w:sz w:val="28"/>
          <w:szCs w:val="28"/>
        </w:rPr>
      </w:pPr>
      <w:r w:rsidRPr="00077B08">
        <w:rPr>
          <w:rFonts w:ascii="Trebuchet MS" w:hAnsi="Trebuchet MS"/>
          <w:b/>
          <w:bCs/>
          <w:sz w:val="28"/>
          <w:szCs w:val="28"/>
        </w:rPr>
        <w:t>Contact person:</w:t>
      </w:r>
    </w:p>
    <w:p w14:paraId="6BF8C8FB" w14:textId="5C777C87" w:rsidR="00FC7B05" w:rsidRPr="00077B08" w:rsidRDefault="00FC7B05" w:rsidP="00FC7B05">
      <w:pPr>
        <w:spacing w:after="0" w:line="240" w:lineRule="auto"/>
        <w:ind w:right="403"/>
        <w:jc w:val="both"/>
        <w:rPr>
          <w:rFonts w:ascii="Trebuchet MS" w:hAnsi="Trebuchet MS"/>
          <w:b/>
          <w:bCs/>
          <w:sz w:val="28"/>
          <w:szCs w:val="28"/>
        </w:rPr>
      </w:pPr>
      <w:r w:rsidRPr="00077B08">
        <w:rPr>
          <w:rFonts w:ascii="Trebuchet MS" w:hAnsi="Trebuchet MS"/>
          <w:b/>
          <w:bCs/>
          <w:sz w:val="28"/>
          <w:szCs w:val="28"/>
        </w:rPr>
        <w:t>Domnica</w:t>
      </w:r>
      <w:r w:rsidRPr="00077B08">
        <w:rPr>
          <w:rFonts w:ascii="Trebuchet MS" w:hAnsi="Trebuchet MS"/>
          <w:b/>
          <w:bCs/>
          <w:sz w:val="28"/>
          <w:szCs w:val="28"/>
        </w:rPr>
        <w:t xml:space="preserve"> </w:t>
      </w:r>
      <w:proofErr w:type="spellStart"/>
      <w:r w:rsidRPr="00077B08">
        <w:rPr>
          <w:rFonts w:ascii="Trebuchet MS" w:hAnsi="Trebuchet MS"/>
          <w:b/>
          <w:bCs/>
          <w:sz w:val="28"/>
          <w:szCs w:val="28"/>
        </w:rPr>
        <w:t>Foc</w:t>
      </w:r>
      <w:r w:rsidRPr="00077B08">
        <w:rPr>
          <w:rFonts w:ascii="Trebuchet MS" w:hAnsi="Trebuchet MS"/>
          <w:b/>
          <w:bCs/>
          <w:sz w:val="28"/>
          <w:szCs w:val="28"/>
        </w:rPr>
        <w:t>șă</w:t>
      </w:r>
      <w:r w:rsidRPr="00077B08">
        <w:rPr>
          <w:rFonts w:ascii="Trebuchet MS" w:hAnsi="Trebuchet MS"/>
          <w:b/>
          <w:bCs/>
          <w:sz w:val="28"/>
          <w:szCs w:val="28"/>
        </w:rPr>
        <w:t>neanu</w:t>
      </w:r>
      <w:proofErr w:type="spellEnd"/>
      <w:r w:rsidRPr="00077B08">
        <w:rPr>
          <w:rFonts w:ascii="Trebuchet MS" w:hAnsi="Trebuchet MS"/>
          <w:b/>
          <w:bCs/>
          <w:sz w:val="28"/>
          <w:szCs w:val="28"/>
        </w:rPr>
        <w:t xml:space="preserve"> - </w:t>
      </w:r>
      <w:r w:rsidRPr="00077B08">
        <w:rPr>
          <w:rFonts w:ascii="Trebuchet MS" w:hAnsi="Trebuchet MS"/>
          <w:b/>
          <w:bCs/>
          <w:sz w:val="28"/>
          <w:szCs w:val="28"/>
        </w:rPr>
        <w:t>Deputy Director</w:t>
      </w:r>
    </w:p>
    <w:p w14:paraId="095643B3" w14:textId="4D6FD6C2" w:rsidR="00FC7B05" w:rsidRDefault="00FC7B05" w:rsidP="00FC7B05">
      <w:pPr>
        <w:spacing w:after="0" w:line="240" w:lineRule="auto"/>
        <w:ind w:right="403"/>
        <w:jc w:val="both"/>
        <w:rPr>
          <w:rFonts w:ascii="Trebuchet MS" w:hAnsi="Trebuchet MS"/>
          <w:sz w:val="28"/>
          <w:szCs w:val="28"/>
        </w:rPr>
      </w:pPr>
      <w:r w:rsidRPr="006B4313">
        <w:rPr>
          <w:rFonts w:ascii="Trebuchet MS" w:hAnsi="Trebuchet MS"/>
          <w:sz w:val="28"/>
          <w:szCs w:val="28"/>
        </w:rPr>
        <w:t>Ministry of Development, Public Works and Administration</w:t>
      </w:r>
    </w:p>
    <w:p w14:paraId="47605101" w14:textId="70124E64" w:rsidR="00FC7B05" w:rsidRDefault="00FC7B05" w:rsidP="00FC7B05">
      <w:pPr>
        <w:spacing w:after="0" w:line="240" w:lineRule="auto"/>
        <w:ind w:right="403"/>
        <w:jc w:val="both"/>
        <w:rPr>
          <w:rFonts w:ascii="Trebuchet MS" w:hAnsi="Trebuchet MS"/>
          <w:sz w:val="28"/>
          <w:szCs w:val="28"/>
        </w:rPr>
      </w:pPr>
      <w:r w:rsidRPr="00FC7B05">
        <w:rPr>
          <w:rFonts w:ascii="Trebuchet MS" w:hAnsi="Trebuchet MS"/>
          <w:sz w:val="28"/>
          <w:szCs w:val="28"/>
        </w:rPr>
        <w:t xml:space="preserve">General Directorate of </w:t>
      </w:r>
      <w:r w:rsidRPr="00FC7B05">
        <w:rPr>
          <w:rFonts w:ascii="Trebuchet MS" w:hAnsi="Trebuchet MS"/>
          <w:sz w:val="28"/>
          <w:szCs w:val="28"/>
        </w:rPr>
        <w:t xml:space="preserve">Public Administration </w:t>
      </w:r>
    </w:p>
    <w:p w14:paraId="7769E9FC" w14:textId="568EBB2C" w:rsidR="00FC7B05" w:rsidRDefault="00FC7B05" w:rsidP="00FC7B05">
      <w:pPr>
        <w:spacing w:after="0" w:line="240" w:lineRule="auto"/>
        <w:ind w:right="403"/>
        <w:jc w:val="both"/>
        <w:rPr>
          <w:rFonts w:ascii="Trebuchet MS" w:hAnsi="Trebuchet MS"/>
          <w:sz w:val="28"/>
          <w:szCs w:val="28"/>
        </w:rPr>
      </w:pPr>
      <w:r w:rsidRPr="00FC7B05">
        <w:rPr>
          <w:rFonts w:ascii="Trebuchet MS" w:hAnsi="Trebuchet MS"/>
          <w:sz w:val="28"/>
          <w:szCs w:val="28"/>
        </w:rPr>
        <w:t xml:space="preserve">Directorate for </w:t>
      </w:r>
      <w:r w:rsidRPr="00FC7B05">
        <w:rPr>
          <w:rFonts w:ascii="Trebuchet MS" w:hAnsi="Trebuchet MS"/>
          <w:sz w:val="28"/>
          <w:szCs w:val="28"/>
        </w:rPr>
        <w:t xml:space="preserve">Reform </w:t>
      </w:r>
      <w:r>
        <w:rPr>
          <w:rFonts w:ascii="Trebuchet MS" w:hAnsi="Trebuchet MS"/>
          <w:sz w:val="28"/>
          <w:szCs w:val="28"/>
        </w:rPr>
        <w:t xml:space="preserve">and </w:t>
      </w:r>
      <w:r w:rsidRPr="00FC7B05">
        <w:rPr>
          <w:rFonts w:ascii="Trebuchet MS" w:hAnsi="Trebuchet MS"/>
          <w:sz w:val="28"/>
          <w:szCs w:val="28"/>
        </w:rPr>
        <w:t xml:space="preserve">Strategies </w:t>
      </w:r>
      <w:r w:rsidRPr="00FC7B05">
        <w:rPr>
          <w:rFonts w:ascii="Trebuchet MS" w:hAnsi="Trebuchet MS"/>
          <w:sz w:val="28"/>
          <w:szCs w:val="28"/>
        </w:rPr>
        <w:t xml:space="preserve">in </w:t>
      </w:r>
      <w:r w:rsidRPr="00FC7B05">
        <w:rPr>
          <w:rFonts w:ascii="Trebuchet MS" w:hAnsi="Trebuchet MS"/>
          <w:sz w:val="28"/>
          <w:szCs w:val="28"/>
        </w:rPr>
        <w:t>Public Administration</w:t>
      </w:r>
    </w:p>
    <w:p w14:paraId="3CAF7A00" w14:textId="5F1425EB" w:rsidR="00FC7B05" w:rsidRPr="006B4313" w:rsidRDefault="00FC7B05" w:rsidP="00FC7B05">
      <w:pPr>
        <w:spacing w:after="0" w:line="240" w:lineRule="auto"/>
        <w:ind w:right="403"/>
        <w:jc w:val="both"/>
        <w:rPr>
          <w:rFonts w:ascii="Trebuchet MS" w:hAnsi="Trebuchet MS"/>
          <w:sz w:val="28"/>
          <w:szCs w:val="28"/>
        </w:rPr>
      </w:pPr>
      <w:r>
        <w:rPr>
          <w:rFonts w:ascii="Trebuchet MS" w:hAnsi="Trebuchet MS"/>
          <w:sz w:val="28"/>
          <w:szCs w:val="28"/>
        </w:rPr>
        <w:t xml:space="preserve">Email: </w:t>
      </w:r>
      <w:hyperlink r:id="rId5" w:history="1">
        <w:r w:rsidRPr="00077B08">
          <w:rPr>
            <w:rStyle w:val="Hyperlink"/>
            <w:rFonts w:ascii="Trebuchet MS" w:hAnsi="Trebuchet MS"/>
            <w:b/>
            <w:bCs/>
            <w:sz w:val="28"/>
            <w:szCs w:val="28"/>
          </w:rPr>
          <w:t>dgap.drap.mdf@gmail.com</w:t>
        </w:r>
      </w:hyperlink>
      <w:r>
        <w:rPr>
          <w:rFonts w:ascii="Trebuchet MS" w:hAnsi="Trebuchet MS"/>
          <w:sz w:val="28"/>
          <w:szCs w:val="28"/>
        </w:rPr>
        <w:t xml:space="preserve">, </w:t>
      </w:r>
      <w:hyperlink r:id="rId6" w:history="1">
        <w:r w:rsidRPr="004F09FC">
          <w:rPr>
            <w:rStyle w:val="Hyperlink"/>
            <w:rFonts w:ascii="Trebuchet MS" w:hAnsi="Trebuchet MS"/>
            <w:sz w:val="28"/>
            <w:szCs w:val="28"/>
          </w:rPr>
          <w:t>domnica.focsaneanu@mdlpa.ro</w:t>
        </w:r>
      </w:hyperlink>
      <w:r>
        <w:rPr>
          <w:rFonts w:ascii="Trebuchet MS" w:hAnsi="Trebuchet MS"/>
          <w:sz w:val="28"/>
          <w:szCs w:val="28"/>
        </w:rPr>
        <w:t xml:space="preserve"> </w:t>
      </w:r>
    </w:p>
    <w:sectPr w:rsidR="00FC7B05" w:rsidRPr="006B4313" w:rsidSect="00591CB6">
      <w:pgSz w:w="11906" w:h="16838"/>
      <w:pgMar w:top="851"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F24"/>
    <w:multiLevelType w:val="hybridMultilevel"/>
    <w:tmpl w:val="1CD8D6B8"/>
    <w:lvl w:ilvl="0" w:tplc="EAF67B1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03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91"/>
    <w:rsid w:val="00077B08"/>
    <w:rsid w:val="00137C24"/>
    <w:rsid w:val="00293329"/>
    <w:rsid w:val="00414282"/>
    <w:rsid w:val="00591CB6"/>
    <w:rsid w:val="006751A6"/>
    <w:rsid w:val="0068063D"/>
    <w:rsid w:val="006863A3"/>
    <w:rsid w:val="006B4313"/>
    <w:rsid w:val="00756F99"/>
    <w:rsid w:val="00865273"/>
    <w:rsid w:val="009138B2"/>
    <w:rsid w:val="0094428D"/>
    <w:rsid w:val="0099075B"/>
    <w:rsid w:val="009F252D"/>
    <w:rsid w:val="00AB7374"/>
    <w:rsid w:val="00AE36C5"/>
    <w:rsid w:val="00B11E1F"/>
    <w:rsid w:val="00B653E9"/>
    <w:rsid w:val="00BB1E16"/>
    <w:rsid w:val="00C10101"/>
    <w:rsid w:val="00C52BF1"/>
    <w:rsid w:val="00C57ABD"/>
    <w:rsid w:val="00C65B75"/>
    <w:rsid w:val="00CA5623"/>
    <w:rsid w:val="00D42567"/>
    <w:rsid w:val="00DE354E"/>
    <w:rsid w:val="00E05EED"/>
    <w:rsid w:val="00E4637D"/>
    <w:rsid w:val="00E600F2"/>
    <w:rsid w:val="00E74CAF"/>
    <w:rsid w:val="00F36DA5"/>
    <w:rsid w:val="00FA5281"/>
    <w:rsid w:val="00FB2D91"/>
    <w:rsid w:val="00FC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DE87"/>
  <w15:chartTrackingRefBased/>
  <w15:docId w15:val="{CE6B6255-5F61-4E1C-BA1A-F75805A4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13"/>
    <w:pPr>
      <w:ind w:left="720"/>
      <w:contextualSpacing/>
    </w:pPr>
  </w:style>
  <w:style w:type="character" w:styleId="Hyperlink">
    <w:name w:val="Hyperlink"/>
    <w:basedOn w:val="DefaultParagraphFont"/>
    <w:uiPriority w:val="99"/>
    <w:unhideWhenUsed/>
    <w:rsid w:val="00FC7B05"/>
    <w:rPr>
      <w:color w:val="0563C1" w:themeColor="hyperlink"/>
      <w:u w:val="single"/>
    </w:rPr>
  </w:style>
  <w:style w:type="character" w:styleId="UnresolvedMention">
    <w:name w:val="Unresolved Mention"/>
    <w:basedOn w:val="DefaultParagraphFont"/>
    <w:uiPriority w:val="99"/>
    <w:semiHidden/>
    <w:unhideWhenUsed/>
    <w:rsid w:val="00FC7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nica.focsaneanu@mdlpa.ro" TargetMode="External"/><Relationship Id="rId5" Type="http://schemas.openxmlformats.org/officeDocument/2006/relationships/hyperlink" Target="mailto:dgap.drap.mdf@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raluca.herepean</dc:creator>
  <cp:keywords/>
  <dc:description/>
  <cp:lastModifiedBy>andreea.berescu</cp:lastModifiedBy>
  <cp:revision>2</cp:revision>
  <dcterms:created xsi:type="dcterms:W3CDTF">2023-01-04T07:51:00Z</dcterms:created>
  <dcterms:modified xsi:type="dcterms:W3CDTF">2023-01-04T07:51:00Z</dcterms:modified>
</cp:coreProperties>
</file>